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E921ED" w14:textId="3AB74EC5" w:rsidR="00022980" w:rsidRDefault="00022980" w:rsidP="00022980">
      <w:pPr>
        <w:jc w:val="center"/>
        <w:rPr>
          <w:lang w:val="en-ZA"/>
        </w:rPr>
      </w:pPr>
      <w:r>
        <w:rPr>
          <w:noProof/>
          <w:lang w:val="en-ZA"/>
        </w:rPr>
        <w:drawing>
          <wp:inline distT="0" distB="0" distL="0" distR="0" wp14:anchorId="13B0C913" wp14:editId="359BF29D">
            <wp:extent cx="1958340" cy="1333500"/>
            <wp:effectExtent l="0" t="0" r="3810" b="0"/>
            <wp:docPr id="20711142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834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C86081" w14:textId="77777777" w:rsidR="00022980" w:rsidRDefault="00022980">
      <w:pPr>
        <w:rPr>
          <w:lang w:val="en-ZA"/>
        </w:rPr>
      </w:pPr>
    </w:p>
    <w:p w14:paraId="62FACCE1" w14:textId="5FBB871B" w:rsidR="00FD76E6" w:rsidRPr="00912354" w:rsidRDefault="00720203" w:rsidP="00720203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D64190">
        <w:rPr>
          <w:rFonts w:ascii="Arial" w:hAnsi="Arial" w:cs="Arial"/>
          <w:b/>
          <w:bCs/>
          <w:sz w:val="22"/>
          <w:szCs w:val="22"/>
        </w:rPr>
        <w:t>PUBLICATION OF THE DISCUSSION PAPER 1</w:t>
      </w:r>
      <w:r>
        <w:rPr>
          <w:rFonts w:ascii="Arial" w:hAnsi="Arial" w:cs="Arial"/>
          <w:b/>
          <w:bCs/>
          <w:sz w:val="22"/>
          <w:szCs w:val="22"/>
        </w:rPr>
        <w:t>64</w:t>
      </w:r>
      <w:r w:rsidRPr="00D64190">
        <w:rPr>
          <w:rFonts w:ascii="Arial" w:hAnsi="Arial" w:cs="Arial"/>
          <w:b/>
          <w:bCs/>
          <w:sz w:val="22"/>
          <w:szCs w:val="22"/>
        </w:rPr>
        <w:t xml:space="preserve">: REVIEW OF THE CRIMINAL JUSTICE SYSTEM: APPROPRIATE (ALTERNATIVE) DISPUTE RESOLUTION IN CRIMINAL MATTERS FOR PUBLIC COMMENT </w:t>
      </w:r>
      <w:bookmarkStart w:id="0" w:name="_GoBack"/>
      <w:bookmarkEnd w:id="0"/>
      <w:r w:rsidR="00C30E86">
        <w:rPr>
          <w:rFonts w:ascii="Arial" w:hAnsi="Arial" w:cs="Arial"/>
          <w:b/>
          <w:bCs/>
          <w:sz w:val="22"/>
          <w:szCs w:val="22"/>
        </w:rPr>
        <w:t>- PROJECT 151</w:t>
      </w:r>
    </w:p>
    <w:p w14:paraId="47BBAAD6" w14:textId="3856CD55" w:rsidR="004521E4" w:rsidRDefault="00022980" w:rsidP="0072020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>The South African Law Reform Commission (Commission) has published Discussion Paper 1</w:t>
      </w:r>
      <w:r w:rsidR="00D64190">
        <w:rPr>
          <w:rFonts w:ascii="Arial" w:hAnsi="Arial" w:cs="Arial"/>
          <w:sz w:val="22"/>
          <w:szCs w:val="22"/>
        </w:rPr>
        <w:t>64</w:t>
      </w:r>
      <w:r w:rsidRPr="00D64190">
        <w:rPr>
          <w:rFonts w:ascii="Arial" w:hAnsi="Arial" w:cs="Arial"/>
          <w:sz w:val="22"/>
          <w:szCs w:val="22"/>
        </w:rPr>
        <w:t xml:space="preserve"> for public comment and information on the </w:t>
      </w:r>
      <w:r w:rsidR="00FD76E6" w:rsidRPr="00D64190">
        <w:rPr>
          <w:rFonts w:ascii="Arial" w:hAnsi="Arial" w:cs="Arial"/>
          <w:sz w:val="22"/>
          <w:szCs w:val="22"/>
        </w:rPr>
        <w:t>R</w:t>
      </w:r>
      <w:r w:rsidRPr="00D64190">
        <w:rPr>
          <w:rFonts w:ascii="Arial" w:hAnsi="Arial" w:cs="Arial"/>
          <w:sz w:val="22"/>
          <w:szCs w:val="22"/>
        </w:rPr>
        <w:t xml:space="preserve">eview of </w:t>
      </w:r>
      <w:r w:rsidR="00FD76E6" w:rsidRPr="00D64190">
        <w:rPr>
          <w:rFonts w:ascii="Arial" w:hAnsi="Arial" w:cs="Arial"/>
          <w:sz w:val="22"/>
          <w:szCs w:val="22"/>
        </w:rPr>
        <w:t xml:space="preserve">the Criminal Justice System: </w:t>
      </w:r>
      <w:r w:rsidR="00FE2A76" w:rsidRPr="00D64190">
        <w:rPr>
          <w:rFonts w:ascii="Arial" w:hAnsi="Arial" w:cs="Arial"/>
          <w:sz w:val="22"/>
          <w:szCs w:val="22"/>
        </w:rPr>
        <w:t>Appropriate (</w:t>
      </w:r>
      <w:r w:rsidR="00FD76E6" w:rsidRPr="00D64190">
        <w:rPr>
          <w:rFonts w:ascii="Arial" w:hAnsi="Arial" w:cs="Arial"/>
          <w:sz w:val="22"/>
          <w:szCs w:val="22"/>
        </w:rPr>
        <w:t>Alternative</w:t>
      </w:r>
      <w:r w:rsidR="00FE2A76" w:rsidRPr="00D64190">
        <w:rPr>
          <w:rFonts w:ascii="Arial" w:hAnsi="Arial" w:cs="Arial"/>
          <w:sz w:val="22"/>
          <w:szCs w:val="22"/>
        </w:rPr>
        <w:t>)</w:t>
      </w:r>
      <w:r w:rsidR="00FD76E6" w:rsidRPr="00D64190">
        <w:rPr>
          <w:rFonts w:ascii="Arial" w:hAnsi="Arial" w:cs="Arial"/>
          <w:sz w:val="22"/>
          <w:szCs w:val="22"/>
        </w:rPr>
        <w:t xml:space="preserve"> Dispute Resolution in Criminal Matters</w:t>
      </w:r>
      <w:r w:rsidR="00FE2A76" w:rsidRPr="00D64190">
        <w:rPr>
          <w:rFonts w:ascii="Arial" w:hAnsi="Arial" w:cs="Arial"/>
          <w:sz w:val="22"/>
          <w:szCs w:val="22"/>
        </w:rPr>
        <w:t xml:space="preserve"> (ADR)</w:t>
      </w:r>
      <w:r w:rsidRPr="00D64190">
        <w:rPr>
          <w:rFonts w:ascii="Arial" w:hAnsi="Arial" w:cs="Arial"/>
          <w:sz w:val="22"/>
          <w:szCs w:val="22"/>
        </w:rPr>
        <w:t xml:space="preserve"> administered by the Department of Justice and Constitutional Development (DOJ&amp;CD). This review seeks to </w:t>
      </w:r>
      <w:r w:rsidR="00FE2A76" w:rsidRPr="00D64190">
        <w:rPr>
          <w:rFonts w:ascii="Arial" w:hAnsi="Arial" w:cs="Arial"/>
          <w:sz w:val="22"/>
          <w:szCs w:val="22"/>
        </w:rPr>
        <w:t xml:space="preserve">propose law reform in employing pre-trial ADR to redirect criminal cases away from the courts by submitting them to processes capable of being finalised expeditiously in support of abbreviated and cost-effective processes. </w:t>
      </w:r>
    </w:p>
    <w:p w14:paraId="75101602" w14:textId="77777777" w:rsidR="00912354" w:rsidRPr="00D64190" w:rsidRDefault="00912354" w:rsidP="00720203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0DC00522" w14:textId="33F0DA1F" w:rsidR="00022980" w:rsidRPr="00D64190" w:rsidRDefault="00022980" w:rsidP="0072020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The Commission has made the following </w:t>
      </w:r>
      <w:r w:rsidR="003510D3" w:rsidRPr="00D64190">
        <w:rPr>
          <w:rFonts w:ascii="Arial" w:hAnsi="Arial" w:cs="Arial"/>
          <w:sz w:val="22"/>
          <w:szCs w:val="22"/>
        </w:rPr>
        <w:t xml:space="preserve">proposals </w:t>
      </w:r>
      <w:r w:rsidRPr="00D64190">
        <w:rPr>
          <w:rFonts w:ascii="Arial" w:hAnsi="Arial" w:cs="Arial"/>
          <w:sz w:val="22"/>
          <w:szCs w:val="22"/>
        </w:rPr>
        <w:t xml:space="preserve">in the discussion paper: </w:t>
      </w:r>
    </w:p>
    <w:p w14:paraId="0BFF954A" w14:textId="3CF0B42A" w:rsidR="00026695" w:rsidRPr="00D64190" w:rsidRDefault="003510D3" w:rsidP="00720203">
      <w:pPr>
        <w:pStyle w:val="ListParagraph"/>
        <w:numPr>
          <w:ilvl w:val="0"/>
          <w:numId w:val="2"/>
        </w:numPr>
        <w:tabs>
          <w:tab w:val="left" w:pos="567"/>
        </w:tabs>
        <w:spacing w:line="360" w:lineRule="auto"/>
        <w:ind w:left="567" w:hanging="567"/>
        <w:contextualSpacing w:val="0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To </w:t>
      </w:r>
      <w:r w:rsidR="00026695" w:rsidRPr="00D64190">
        <w:rPr>
          <w:rFonts w:ascii="Arial" w:hAnsi="Arial" w:cs="Arial"/>
          <w:sz w:val="22"/>
          <w:szCs w:val="22"/>
        </w:rPr>
        <w:t>formalise the use of ADR and diversion in criminal matters involving adults by way of legislation;</w:t>
      </w:r>
    </w:p>
    <w:p w14:paraId="7E685062" w14:textId="0D64B540" w:rsidR="003510D3" w:rsidRPr="00D64190" w:rsidRDefault="003510D3" w:rsidP="00720203">
      <w:pPr>
        <w:pStyle w:val="ListParagraph"/>
        <w:numPr>
          <w:ilvl w:val="0"/>
          <w:numId w:val="2"/>
        </w:numPr>
        <w:tabs>
          <w:tab w:val="left" w:pos="567"/>
        </w:tabs>
        <w:spacing w:line="360" w:lineRule="auto"/>
        <w:ind w:left="567" w:hanging="567"/>
        <w:contextualSpacing w:val="0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>To provide for the legislative regulation of both conditional withdrawals of prosecution and adult diversion;</w:t>
      </w:r>
    </w:p>
    <w:p w14:paraId="5FD87293" w14:textId="1B3BC7E9" w:rsidR="00022980" w:rsidRPr="00D64190" w:rsidRDefault="003510D3" w:rsidP="00720203">
      <w:pPr>
        <w:pStyle w:val="ListParagraph"/>
        <w:numPr>
          <w:ilvl w:val="0"/>
          <w:numId w:val="2"/>
        </w:numPr>
        <w:tabs>
          <w:tab w:val="left" w:pos="567"/>
        </w:tabs>
        <w:spacing w:line="360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To </w:t>
      </w:r>
      <w:r w:rsidR="00FE2A76" w:rsidRPr="00D64190">
        <w:rPr>
          <w:rFonts w:ascii="Arial" w:hAnsi="Arial" w:cs="Arial"/>
          <w:sz w:val="22"/>
          <w:szCs w:val="22"/>
        </w:rPr>
        <w:t>align the admission of guilt fines regime so that it works in synergy with the overarching principles of pre-trial ADR</w:t>
      </w:r>
      <w:r w:rsidR="00022980" w:rsidRPr="00D64190">
        <w:rPr>
          <w:rFonts w:ascii="Arial" w:hAnsi="Arial" w:cs="Arial"/>
          <w:sz w:val="22"/>
          <w:szCs w:val="22"/>
        </w:rPr>
        <w:t xml:space="preserve">; </w:t>
      </w:r>
    </w:p>
    <w:p w14:paraId="0DB06B9D" w14:textId="39C48ECF" w:rsidR="00022980" w:rsidRPr="00D64190" w:rsidRDefault="00022980" w:rsidP="00720203">
      <w:pPr>
        <w:tabs>
          <w:tab w:val="left" w:pos="567"/>
        </w:tabs>
        <w:spacing w:line="360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>•</w:t>
      </w:r>
      <w:r w:rsidRPr="00D64190">
        <w:rPr>
          <w:rFonts w:ascii="Arial" w:hAnsi="Arial" w:cs="Arial"/>
          <w:sz w:val="22"/>
          <w:szCs w:val="22"/>
        </w:rPr>
        <w:tab/>
      </w:r>
      <w:r w:rsidR="003510D3" w:rsidRPr="00D64190">
        <w:rPr>
          <w:rFonts w:ascii="Arial" w:hAnsi="Arial" w:cs="Arial"/>
          <w:sz w:val="22"/>
          <w:szCs w:val="22"/>
        </w:rPr>
        <w:t xml:space="preserve">To </w:t>
      </w:r>
      <w:r w:rsidR="00FE2A76" w:rsidRPr="00D64190">
        <w:rPr>
          <w:rFonts w:ascii="Arial" w:hAnsi="Arial" w:cs="Arial"/>
          <w:sz w:val="22"/>
          <w:szCs w:val="22"/>
        </w:rPr>
        <w:t xml:space="preserve">amend the </w:t>
      </w:r>
      <w:r w:rsidR="003510D3" w:rsidRPr="00D64190">
        <w:rPr>
          <w:rFonts w:ascii="Arial" w:hAnsi="Arial" w:cs="Arial"/>
          <w:sz w:val="22"/>
          <w:szCs w:val="22"/>
        </w:rPr>
        <w:t xml:space="preserve">guilt fines </w:t>
      </w:r>
      <w:r w:rsidR="00FE2A76" w:rsidRPr="00D64190">
        <w:rPr>
          <w:rFonts w:ascii="Arial" w:hAnsi="Arial" w:cs="Arial"/>
          <w:sz w:val="22"/>
          <w:szCs w:val="22"/>
        </w:rPr>
        <w:t xml:space="preserve">regime </w:t>
      </w:r>
      <w:r w:rsidR="003510D3" w:rsidRPr="00D64190">
        <w:rPr>
          <w:rFonts w:ascii="Arial" w:hAnsi="Arial" w:cs="Arial"/>
          <w:sz w:val="22"/>
          <w:szCs w:val="22"/>
        </w:rPr>
        <w:t xml:space="preserve">in this regard </w:t>
      </w:r>
      <w:r w:rsidR="00FE2A76" w:rsidRPr="00D64190">
        <w:rPr>
          <w:rFonts w:ascii="Arial" w:hAnsi="Arial" w:cs="Arial"/>
          <w:sz w:val="22"/>
          <w:szCs w:val="22"/>
        </w:rPr>
        <w:t xml:space="preserve">by removing all penalty provisions; </w:t>
      </w:r>
    </w:p>
    <w:p w14:paraId="0B29662A" w14:textId="2EE50E97" w:rsidR="003510D3" w:rsidRPr="00D64190" w:rsidRDefault="003510D3" w:rsidP="00720203">
      <w:pPr>
        <w:pStyle w:val="ListParagraph"/>
        <w:numPr>
          <w:ilvl w:val="0"/>
          <w:numId w:val="2"/>
        </w:numPr>
        <w:tabs>
          <w:tab w:val="left" w:pos="567"/>
        </w:tabs>
        <w:spacing w:line="360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To re-investigate plea and sentence agreements, but only </w:t>
      </w:r>
      <w:r w:rsidR="005E3937" w:rsidRPr="00D64190">
        <w:rPr>
          <w:rFonts w:ascii="Arial" w:hAnsi="Arial" w:cs="Arial"/>
          <w:sz w:val="22"/>
          <w:szCs w:val="22"/>
        </w:rPr>
        <w:t>to determine outlined implementation challenges and whether the agreements are being utilised</w:t>
      </w:r>
      <w:r w:rsidRPr="00D64190">
        <w:rPr>
          <w:rFonts w:ascii="Arial" w:hAnsi="Arial" w:cs="Arial"/>
          <w:sz w:val="22"/>
          <w:szCs w:val="22"/>
        </w:rPr>
        <w:t xml:space="preserve"> as a way of expediting the finalisation of cases in a way that supports both the public interest and the effective administration of justice;</w:t>
      </w:r>
      <w:r w:rsidR="005E3937" w:rsidRPr="00D64190">
        <w:rPr>
          <w:rFonts w:ascii="Arial" w:hAnsi="Arial" w:cs="Arial"/>
          <w:sz w:val="22"/>
          <w:szCs w:val="22"/>
        </w:rPr>
        <w:t xml:space="preserve"> and</w:t>
      </w:r>
    </w:p>
    <w:p w14:paraId="441D2354" w14:textId="57B434EE" w:rsidR="00022980" w:rsidRPr="00D64190" w:rsidRDefault="00022980" w:rsidP="00720203">
      <w:pPr>
        <w:tabs>
          <w:tab w:val="left" w:pos="567"/>
        </w:tabs>
        <w:spacing w:line="360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>•</w:t>
      </w:r>
      <w:r w:rsidRPr="00D64190">
        <w:rPr>
          <w:rFonts w:ascii="Arial" w:hAnsi="Arial" w:cs="Arial"/>
          <w:sz w:val="22"/>
          <w:szCs w:val="22"/>
        </w:rPr>
        <w:tab/>
      </w:r>
      <w:r w:rsidR="005E3937" w:rsidRPr="00D64190">
        <w:rPr>
          <w:rFonts w:ascii="Arial" w:hAnsi="Arial" w:cs="Arial"/>
          <w:sz w:val="22"/>
          <w:szCs w:val="22"/>
        </w:rPr>
        <w:t xml:space="preserve">To </w:t>
      </w:r>
      <w:r w:rsidR="00FE2A76" w:rsidRPr="00D64190">
        <w:rPr>
          <w:rFonts w:ascii="Arial" w:hAnsi="Arial" w:cs="Arial"/>
          <w:sz w:val="22"/>
          <w:szCs w:val="22"/>
        </w:rPr>
        <w:t xml:space="preserve">ensure that related principles of pre-trial ADR (embodying, as it does, those of restorative justice) apply with equanimity, and to include additional conditions over and </w:t>
      </w:r>
      <w:r w:rsidR="00FE2A76" w:rsidRPr="00D64190">
        <w:rPr>
          <w:rFonts w:ascii="Arial" w:hAnsi="Arial" w:cs="Arial"/>
          <w:sz w:val="22"/>
          <w:szCs w:val="22"/>
        </w:rPr>
        <w:lastRenderedPageBreak/>
        <w:t>above the payment of reparation, for example, by providing for participation of an offender into a community service programme</w:t>
      </w:r>
      <w:r w:rsidR="005E3937" w:rsidRPr="00D64190">
        <w:rPr>
          <w:rFonts w:ascii="Arial" w:hAnsi="Arial" w:cs="Arial"/>
          <w:sz w:val="22"/>
          <w:szCs w:val="22"/>
        </w:rPr>
        <w:t>.</w:t>
      </w:r>
      <w:r w:rsidRPr="00D64190">
        <w:rPr>
          <w:rFonts w:ascii="Arial" w:hAnsi="Arial" w:cs="Arial"/>
          <w:sz w:val="22"/>
          <w:szCs w:val="22"/>
        </w:rPr>
        <w:t xml:space="preserve"> </w:t>
      </w:r>
    </w:p>
    <w:p w14:paraId="53CDB14E" w14:textId="360849C3" w:rsidR="00022980" w:rsidRPr="00D64190" w:rsidRDefault="00022980" w:rsidP="0072020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>A draft Bill which, if enacted and promoted by the Executive, would give effect to the Commission’s recommendations has been included in the paper.</w:t>
      </w:r>
    </w:p>
    <w:p w14:paraId="520DA3D5" w14:textId="747E8D86" w:rsidR="00022980" w:rsidRPr="00D64190" w:rsidRDefault="00022980" w:rsidP="0072020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The discussion paper is obtainable at the Commission’s offices and is available for download on this link: </w:t>
      </w:r>
      <w:hyperlink r:id="rId6" w:history="1">
        <w:r w:rsidRPr="00D64190">
          <w:rPr>
            <w:rStyle w:val="Hyperlink"/>
            <w:rFonts w:ascii="Arial" w:hAnsi="Arial" w:cs="Arial"/>
            <w:sz w:val="22"/>
            <w:szCs w:val="22"/>
          </w:rPr>
          <w:t>https://www.justice.gov.za/salrc/</w:t>
        </w:r>
      </w:hyperlink>
      <w:r w:rsidRPr="00D64190">
        <w:rPr>
          <w:rFonts w:ascii="Arial" w:hAnsi="Arial" w:cs="Arial"/>
          <w:sz w:val="22"/>
          <w:szCs w:val="22"/>
        </w:rPr>
        <w:t xml:space="preserve"> </w:t>
      </w:r>
    </w:p>
    <w:p w14:paraId="15868C0F" w14:textId="450B5128" w:rsidR="00022980" w:rsidRPr="00D64190" w:rsidRDefault="00022980" w:rsidP="0072020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The Commission encourages interested parties wishing to make inputs on the discussion paper to send their inputs by </w:t>
      </w:r>
      <w:r w:rsidR="00AE79CE">
        <w:rPr>
          <w:rFonts w:ascii="Arial" w:hAnsi="Arial" w:cs="Arial"/>
          <w:sz w:val="22"/>
          <w:szCs w:val="22"/>
        </w:rPr>
        <w:t>31 March</w:t>
      </w:r>
      <w:r w:rsidRPr="00D64190">
        <w:rPr>
          <w:rFonts w:ascii="Arial" w:hAnsi="Arial" w:cs="Arial"/>
          <w:sz w:val="22"/>
          <w:szCs w:val="22"/>
        </w:rPr>
        <w:t xml:space="preserve"> 202</w:t>
      </w:r>
      <w:r w:rsidR="004521E4" w:rsidRPr="00D64190">
        <w:rPr>
          <w:rFonts w:ascii="Arial" w:hAnsi="Arial" w:cs="Arial"/>
          <w:sz w:val="22"/>
          <w:szCs w:val="22"/>
        </w:rPr>
        <w:t>5</w:t>
      </w:r>
      <w:r w:rsidRPr="00D64190">
        <w:rPr>
          <w:rFonts w:ascii="Arial" w:hAnsi="Arial" w:cs="Arial"/>
          <w:sz w:val="22"/>
          <w:szCs w:val="22"/>
        </w:rPr>
        <w:t xml:space="preserve"> vi</w:t>
      </w:r>
      <w:r w:rsidR="00D64190">
        <w:rPr>
          <w:rFonts w:ascii="Arial" w:hAnsi="Arial" w:cs="Arial"/>
          <w:sz w:val="22"/>
          <w:szCs w:val="22"/>
        </w:rPr>
        <w:t xml:space="preserve">a e-mail to </w:t>
      </w:r>
      <w:hyperlink r:id="rId7" w:history="1">
        <w:r w:rsidR="00D64190" w:rsidRPr="003010C2">
          <w:rPr>
            <w:rStyle w:val="Hyperlink"/>
            <w:rFonts w:ascii="Arial" w:hAnsi="Arial" w:cs="Arial"/>
            <w:sz w:val="22"/>
            <w:szCs w:val="22"/>
          </w:rPr>
          <w:t>CPAreform@justice.gov.za</w:t>
        </w:r>
      </w:hyperlink>
      <w:r w:rsidR="00D64190">
        <w:rPr>
          <w:rFonts w:ascii="Arial" w:hAnsi="Arial" w:cs="Arial"/>
          <w:sz w:val="22"/>
          <w:szCs w:val="22"/>
        </w:rPr>
        <w:t xml:space="preserve"> and copy </w:t>
      </w:r>
      <w:hyperlink r:id="rId8" w:history="1">
        <w:r w:rsidR="00D64190" w:rsidRPr="003010C2">
          <w:rPr>
            <w:rStyle w:val="Hyperlink"/>
            <w:rFonts w:ascii="Arial" w:hAnsi="Arial" w:cs="Arial"/>
            <w:sz w:val="22"/>
            <w:szCs w:val="22"/>
          </w:rPr>
          <w:t>AMakhwanya@justice.gov.za</w:t>
        </w:r>
      </w:hyperlink>
      <w:r w:rsidR="00D64190">
        <w:rPr>
          <w:rFonts w:ascii="Arial" w:hAnsi="Arial" w:cs="Arial"/>
          <w:sz w:val="22"/>
          <w:szCs w:val="22"/>
        </w:rPr>
        <w:t xml:space="preserve"> </w:t>
      </w:r>
    </w:p>
    <w:p w14:paraId="2D4BBB34" w14:textId="77777777" w:rsidR="00022980" w:rsidRPr="00D64190" w:rsidRDefault="00022980" w:rsidP="00720203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65B7E554" w14:textId="77777777" w:rsidR="00022980" w:rsidRPr="00D64190" w:rsidRDefault="00022980" w:rsidP="0072020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Alternatively, written submissions can be delivered by hand to the Commission’s offices or sent via post to: </w:t>
      </w:r>
    </w:p>
    <w:p w14:paraId="5AE5A51A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South African Law Reform Commission </w:t>
      </w:r>
    </w:p>
    <w:p w14:paraId="36FBAB44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D64190">
        <w:rPr>
          <w:rFonts w:ascii="Arial" w:hAnsi="Arial" w:cs="Arial"/>
          <w:sz w:val="22"/>
          <w:szCs w:val="22"/>
        </w:rPr>
        <w:t>Spooral</w:t>
      </w:r>
      <w:proofErr w:type="spellEnd"/>
      <w:r w:rsidRPr="00D64190">
        <w:rPr>
          <w:rFonts w:ascii="Arial" w:hAnsi="Arial" w:cs="Arial"/>
          <w:sz w:val="22"/>
          <w:szCs w:val="22"/>
        </w:rPr>
        <w:t xml:space="preserve"> Park Building </w:t>
      </w:r>
    </w:p>
    <w:p w14:paraId="6FE61ADB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2007 </w:t>
      </w:r>
      <w:proofErr w:type="spellStart"/>
      <w:r w:rsidRPr="00D64190">
        <w:rPr>
          <w:rFonts w:ascii="Arial" w:hAnsi="Arial" w:cs="Arial"/>
          <w:sz w:val="22"/>
          <w:szCs w:val="22"/>
        </w:rPr>
        <w:t>Lenchen</w:t>
      </w:r>
      <w:proofErr w:type="spellEnd"/>
      <w:r w:rsidRPr="00D64190">
        <w:rPr>
          <w:rFonts w:ascii="Arial" w:hAnsi="Arial" w:cs="Arial"/>
          <w:sz w:val="22"/>
          <w:szCs w:val="22"/>
        </w:rPr>
        <w:t xml:space="preserve"> Avenue South </w:t>
      </w:r>
    </w:p>
    <w:p w14:paraId="69A12483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Centurion </w:t>
      </w:r>
    </w:p>
    <w:p w14:paraId="6602B797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0157 </w:t>
      </w:r>
    </w:p>
    <w:p w14:paraId="01337C34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</w:p>
    <w:p w14:paraId="1149FB51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The Secretary </w:t>
      </w:r>
    </w:p>
    <w:p w14:paraId="5E3B15A3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South African Law Reform Commission </w:t>
      </w:r>
    </w:p>
    <w:p w14:paraId="1BB9E56F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Private Bag X668 </w:t>
      </w:r>
    </w:p>
    <w:p w14:paraId="45A39749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Pretoria </w:t>
      </w:r>
    </w:p>
    <w:p w14:paraId="2FEF9BB2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  <w:r w:rsidRPr="00D64190">
        <w:rPr>
          <w:rFonts w:ascii="Arial" w:hAnsi="Arial" w:cs="Arial"/>
          <w:sz w:val="22"/>
          <w:szCs w:val="22"/>
        </w:rPr>
        <w:t xml:space="preserve">0001 </w:t>
      </w:r>
    </w:p>
    <w:p w14:paraId="732DB5D9" w14:textId="77777777" w:rsidR="00022980" w:rsidRPr="00D64190" w:rsidRDefault="00022980" w:rsidP="00022980">
      <w:pPr>
        <w:jc w:val="both"/>
        <w:rPr>
          <w:rFonts w:ascii="Arial" w:hAnsi="Arial" w:cs="Arial"/>
          <w:sz w:val="22"/>
          <w:szCs w:val="22"/>
        </w:rPr>
      </w:pPr>
    </w:p>
    <w:p w14:paraId="4D5D3A33" w14:textId="55A027DE" w:rsidR="00022980" w:rsidRDefault="00022980" w:rsidP="00022980">
      <w:pPr>
        <w:jc w:val="both"/>
        <w:rPr>
          <w:rFonts w:ascii="Arial" w:hAnsi="Arial" w:cs="Arial"/>
          <w:color w:val="FF0000"/>
          <w:sz w:val="22"/>
          <w:szCs w:val="22"/>
        </w:rPr>
      </w:pPr>
      <w:r w:rsidRPr="00FD7F07">
        <w:rPr>
          <w:rFonts w:ascii="Arial" w:hAnsi="Arial" w:cs="Arial"/>
          <w:sz w:val="22"/>
          <w:szCs w:val="22"/>
        </w:rPr>
        <w:t xml:space="preserve">Inquiries can be directed to </w:t>
      </w:r>
      <w:r w:rsidR="00FD7F07">
        <w:rPr>
          <w:rFonts w:ascii="Arial" w:hAnsi="Arial" w:cs="Arial"/>
          <w:sz w:val="22"/>
          <w:szCs w:val="22"/>
        </w:rPr>
        <w:t xml:space="preserve">Mr Nelson Matibe </w:t>
      </w:r>
      <w:r w:rsidRPr="00FD7F07">
        <w:rPr>
          <w:rFonts w:ascii="Arial" w:hAnsi="Arial" w:cs="Arial"/>
          <w:sz w:val="22"/>
          <w:szCs w:val="22"/>
        </w:rPr>
        <w:t xml:space="preserve">on (012) </w:t>
      </w:r>
      <w:r w:rsidR="00FD7F07">
        <w:rPr>
          <w:rFonts w:ascii="Arial" w:hAnsi="Arial" w:cs="Arial"/>
          <w:sz w:val="22"/>
          <w:szCs w:val="22"/>
        </w:rPr>
        <w:t>622 6206</w:t>
      </w:r>
      <w:r w:rsidRPr="00FD7F07">
        <w:rPr>
          <w:rFonts w:ascii="Arial" w:hAnsi="Arial" w:cs="Arial"/>
          <w:sz w:val="22"/>
          <w:szCs w:val="22"/>
        </w:rPr>
        <w:t xml:space="preserve"> or </w:t>
      </w:r>
      <w:r w:rsidR="00FD7F07">
        <w:rPr>
          <w:rFonts w:ascii="Arial" w:hAnsi="Arial" w:cs="Arial"/>
          <w:sz w:val="22"/>
          <w:szCs w:val="22"/>
        </w:rPr>
        <w:t>NMatibe@justice.gov.za</w:t>
      </w:r>
      <w:r w:rsidRPr="00D64190">
        <w:rPr>
          <w:rFonts w:ascii="Arial" w:hAnsi="Arial" w:cs="Arial"/>
          <w:color w:val="FF0000"/>
          <w:sz w:val="22"/>
          <w:szCs w:val="22"/>
        </w:rPr>
        <w:t xml:space="preserve"> </w:t>
      </w:r>
    </w:p>
    <w:p w14:paraId="392445D3" w14:textId="77777777" w:rsidR="00720203" w:rsidRPr="00912354" w:rsidRDefault="00720203" w:rsidP="00720203">
      <w:pPr>
        <w:spacing w:after="0" w:line="360" w:lineRule="auto"/>
        <w:jc w:val="both"/>
        <w:rPr>
          <w:rFonts w:ascii="Arial" w:hAnsi="Arial" w:cs="Arial"/>
          <w:b/>
          <w:sz w:val="22"/>
          <w:szCs w:val="22"/>
        </w:rPr>
      </w:pPr>
      <w:r w:rsidRPr="00912354">
        <w:rPr>
          <w:rFonts w:ascii="Arial" w:hAnsi="Arial" w:cs="Arial"/>
          <w:b/>
          <w:sz w:val="22"/>
          <w:szCs w:val="22"/>
        </w:rPr>
        <w:t>ISSUED BY THE SECRETARY: SOUTH AFRICAN LAW REFORM COMMISSION, PRETORIA</w:t>
      </w:r>
    </w:p>
    <w:p w14:paraId="3F97855F" w14:textId="77777777" w:rsidR="00720203" w:rsidRPr="00912354" w:rsidRDefault="00720203" w:rsidP="00720203">
      <w:pPr>
        <w:spacing w:after="0" w:line="360" w:lineRule="auto"/>
        <w:jc w:val="both"/>
        <w:rPr>
          <w:rFonts w:ascii="Arial" w:hAnsi="Arial" w:cs="Arial"/>
          <w:b/>
          <w:sz w:val="22"/>
          <w:szCs w:val="22"/>
        </w:rPr>
      </w:pPr>
      <w:r w:rsidRPr="00912354">
        <w:rPr>
          <w:rFonts w:ascii="Arial" w:hAnsi="Arial" w:cs="Arial"/>
          <w:b/>
          <w:sz w:val="22"/>
          <w:szCs w:val="22"/>
        </w:rPr>
        <w:t>DATE: 20 FEBRUARY 2025</w:t>
      </w:r>
    </w:p>
    <w:p w14:paraId="32E45F8F" w14:textId="77777777" w:rsidR="00720203" w:rsidRDefault="00720203" w:rsidP="00720203">
      <w:pPr>
        <w:spacing w:after="0" w:line="360" w:lineRule="auto"/>
        <w:jc w:val="both"/>
        <w:rPr>
          <w:rFonts w:ascii="Arial" w:hAnsi="Arial" w:cs="Arial"/>
          <w:b/>
        </w:rPr>
      </w:pPr>
    </w:p>
    <w:p w14:paraId="4F2B660F" w14:textId="77777777" w:rsidR="00720203" w:rsidRPr="00D64190" w:rsidRDefault="00720203" w:rsidP="00022980">
      <w:pPr>
        <w:jc w:val="both"/>
        <w:rPr>
          <w:rFonts w:ascii="Arial" w:hAnsi="Arial" w:cs="Arial"/>
          <w:color w:val="FF0000"/>
          <w:sz w:val="22"/>
          <w:szCs w:val="22"/>
          <w:lang w:val="en-ZA"/>
        </w:rPr>
      </w:pPr>
    </w:p>
    <w:sectPr w:rsidR="00720203" w:rsidRPr="00D6419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E3B67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2FE21DD3"/>
    <w:multiLevelType w:val="hybridMultilevel"/>
    <w:tmpl w:val="BC2433CA"/>
    <w:lvl w:ilvl="0" w:tplc="DC02DEB0">
      <w:start w:val="2024"/>
      <w:numFmt w:val="bullet"/>
      <w:lvlText w:val="•"/>
      <w:lvlJc w:val="left"/>
      <w:pPr>
        <w:ind w:left="927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980"/>
    <w:rsid w:val="00022980"/>
    <w:rsid w:val="00026695"/>
    <w:rsid w:val="003510D3"/>
    <w:rsid w:val="004521E4"/>
    <w:rsid w:val="005E3937"/>
    <w:rsid w:val="00720203"/>
    <w:rsid w:val="008A215D"/>
    <w:rsid w:val="00912354"/>
    <w:rsid w:val="00AE79CE"/>
    <w:rsid w:val="00C30E86"/>
    <w:rsid w:val="00CA1B72"/>
    <w:rsid w:val="00D64190"/>
    <w:rsid w:val="00FD76E6"/>
    <w:rsid w:val="00FD7F07"/>
    <w:rsid w:val="00FE2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305ADE6"/>
  <w15:chartTrackingRefBased/>
  <w15:docId w15:val="{B9723240-FA9B-43C1-891E-949875EF1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298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29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2298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2298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298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2298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2298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2298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2298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2298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298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2298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2298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298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2298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2298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2298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2298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2298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229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2298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2298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229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2298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2298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2298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2298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2298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2298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02298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29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Makhwanya@justice.gov.za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PAreform@justice.gov.z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justice.gov.za/salrc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Mollema, Nina</dc:creator>
  <cp:keywords/>
  <dc:description/>
  <cp:lastModifiedBy>Makhwanya Aifheli</cp:lastModifiedBy>
  <cp:revision>15</cp:revision>
  <dcterms:created xsi:type="dcterms:W3CDTF">2024-11-20T06:05:00Z</dcterms:created>
  <dcterms:modified xsi:type="dcterms:W3CDTF">2025-02-14T20:20:00Z</dcterms:modified>
</cp:coreProperties>
</file>